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16D8" w:rsidRDefault="00CE16D8" w:rsidP="00CE16D8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color w:val="000000"/>
          <w:sz w:val="26"/>
          <w:szCs w:val="26"/>
        </w:rPr>
      </w:pPr>
      <w:r w:rsidRPr="00115186">
        <w:rPr>
          <w:rFonts w:ascii="Arial" w:hAnsi="Arial" w:cs="Arial"/>
          <w:b/>
          <w:bCs/>
          <w:color w:val="000000"/>
          <w:sz w:val="26"/>
          <w:szCs w:val="26"/>
          <w:highlight w:val="yellow"/>
        </w:rPr>
        <w:t>NOUVEAUTE 2026 – 2027</w:t>
      </w:r>
    </w:p>
    <w:p w:rsidR="00CE16D8" w:rsidRDefault="00CE16D8" w:rsidP="00CE16D8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000000"/>
          <w:sz w:val="26"/>
          <w:szCs w:val="26"/>
        </w:rPr>
      </w:pPr>
    </w:p>
    <w:p w:rsidR="00CE16D8" w:rsidRPr="00647F91" w:rsidRDefault="00CE16D8" w:rsidP="00CE16D8">
      <w:pPr>
        <w:shd w:val="clear" w:color="auto" w:fill="DEEAF6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color w:val="FF0000"/>
          <w:sz w:val="32"/>
          <w:szCs w:val="32"/>
        </w:rPr>
      </w:pPr>
      <w:r>
        <w:rPr>
          <w:rFonts w:cs="Calibri"/>
          <w:b/>
          <w:bCs/>
          <w:sz w:val="32"/>
          <w:szCs w:val="32"/>
        </w:rPr>
        <w:t xml:space="preserve">7- Délais – </w:t>
      </w:r>
      <w:r>
        <w:rPr>
          <w:rFonts w:cs="Calibri"/>
          <w:b/>
          <w:bCs/>
          <w:color w:val="FF0000"/>
          <w:sz w:val="32"/>
          <w:szCs w:val="32"/>
        </w:rPr>
        <w:t xml:space="preserve">données </w:t>
      </w:r>
      <w:r w:rsidRPr="00647F91">
        <w:rPr>
          <w:rFonts w:cs="Calibri"/>
          <w:b/>
          <w:bCs/>
          <w:color w:val="FF0000"/>
          <w:sz w:val="32"/>
          <w:szCs w:val="32"/>
        </w:rPr>
        <w:t>obligatoire</w:t>
      </w:r>
      <w:r>
        <w:rPr>
          <w:rFonts w:cs="Calibri"/>
          <w:b/>
          <w:bCs/>
          <w:color w:val="FF0000"/>
          <w:sz w:val="32"/>
          <w:szCs w:val="32"/>
        </w:rPr>
        <w:t>s et demandées</w:t>
      </w:r>
      <w:r w:rsidRPr="00647F91">
        <w:rPr>
          <w:rFonts w:cs="Calibri"/>
          <w:b/>
          <w:bCs/>
          <w:color w:val="FF0000"/>
          <w:sz w:val="32"/>
          <w:szCs w:val="32"/>
        </w:rPr>
        <w:t xml:space="preserve"> au stade du Dossier Complet (DC)</w:t>
      </w:r>
    </w:p>
    <w:p w:rsidR="00CE16D8" w:rsidRDefault="00CE16D8" w:rsidP="00CE16D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FF0000"/>
          <w:sz w:val="18"/>
          <w:szCs w:val="17"/>
        </w:rPr>
      </w:pPr>
    </w:p>
    <w:p w:rsidR="00CE16D8" w:rsidRPr="00115186" w:rsidRDefault="00CE16D8" w:rsidP="00CE16D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17"/>
          <w:szCs w:val="17"/>
        </w:rPr>
      </w:pPr>
    </w:p>
    <w:p w:rsidR="00CE16D8" w:rsidRDefault="00CE16D8" w:rsidP="00CE16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Calibri"/>
          <w:iCs/>
          <w:color w:val="4472C4"/>
          <w:szCs w:val="26"/>
          <w:lang w:eastAsia="fr-FR"/>
        </w:rPr>
      </w:pPr>
      <w:r w:rsidRPr="00095135">
        <w:rPr>
          <w:rFonts w:cs="Calibri"/>
          <w:iCs/>
          <w:color w:val="4472C4"/>
          <w:szCs w:val="26"/>
          <w:lang w:eastAsia="fr-FR"/>
        </w:rPr>
        <w:t xml:space="preserve">Cette rubrique doit être remplie en cohérence avec l’annexe budgétaire transmise </w:t>
      </w:r>
      <w:r>
        <w:rPr>
          <w:rFonts w:cs="Calibri"/>
          <w:iCs/>
          <w:color w:val="4472C4"/>
          <w:szCs w:val="26"/>
          <w:lang w:eastAsia="fr-FR"/>
        </w:rPr>
        <w:t>à</w:t>
      </w:r>
      <w:r w:rsidRPr="00095135">
        <w:rPr>
          <w:rFonts w:cs="Calibri"/>
          <w:iCs/>
          <w:color w:val="4472C4"/>
          <w:szCs w:val="26"/>
          <w:lang w:eastAsia="fr-FR"/>
        </w:rPr>
        <w:t xml:space="preserve"> </w:t>
      </w:r>
      <w:r>
        <w:rPr>
          <w:rFonts w:cs="Calibri"/>
          <w:iCs/>
          <w:color w:val="4472C4"/>
          <w:szCs w:val="26"/>
          <w:lang w:eastAsia="fr-FR"/>
        </w:rPr>
        <w:t>l’</w:t>
      </w:r>
      <w:r w:rsidRPr="00095135">
        <w:rPr>
          <w:rFonts w:cs="Calibri"/>
          <w:iCs/>
          <w:color w:val="4472C4"/>
          <w:szCs w:val="26"/>
          <w:lang w:eastAsia="fr-FR"/>
        </w:rPr>
        <w:t xml:space="preserve">étape de </w:t>
      </w:r>
      <w:r>
        <w:rPr>
          <w:rFonts w:cs="Calibri"/>
          <w:iCs/>
          <w:color w:val="4472C4"/>
          <w:szCs w:val="26"/>
          <w:lang w:eastAsia="fr-FR"/>
        </w:rPr>
        <w:t xml:space="preserve">la </w:t>
      </w:r>
      <w:r w:rsidRPr="00095135">
        <w:rPr>
          <w:rFonts w:cs="Calibri"/>
          <w:iCs/>
          <w:color w:val="4472C4"/>
          <w:szCs w:val="26"/>
          <w:lang w:eastAsia="fr-FR"/>
        </w:rPr>
        <w:t>sélection</w:t>
      </w:r>
      <w:r>
        <w:rPr>
          <w:rFonts w:cs="Calibri"/>
          <w:iCs/>
          <w:color w:val="4472C4"/>
          <w:szCs w:val="26"/>
          <w:lang w:eastAsia="fr-FR"/>
        </w:rPr>
        <w:t xml:space="preserve"> du DC. L</w:t>
      </w:r>
      <w:r w:rsidRPr="00095135">
        <w:rPr>
          <w:rFonts w:cs="Calibri"/>
          <w:iCs/>
          <w:color w:val="4472C4"/>
          <w:szCs w:val="26"/>
          <w:lang w:eastAsia="fr-FR"/>
        </w:rPr>
        <w:t xml:space="preserve">es modalités de suivi </w:t>
      </w:r>
      <w:r>
        <w:rPr>
          <w:rFonts w:cs="Calibri"/>
          <w:iCs/>
          <w:color w:val="4472C4"/>
          <w:szCs w:val="26"/>
          <w:lang w:eastAsia="fr-FR"/>
        </w:rPr>
        <w:t xml:space="preserve">sont </w:t>
      </w:r>
      <w:r w:rsidRPr="00095135">
        <w:rPr>
          <w:rFonts w:cs="Calibri"/>
          <w:iCs/>
          <w:color w:val="4472C4"/>
          <w:szCs w:val="26"/>
          <w:lang w:eastAsia="fr-FR"/>
        </w:rPr>
        <w:t xml:space="preserve">précisées </w:t>
      </w:r>
      <w:r>
        <w:rPr>
          <w:rFonts w:cs="Calibri"/>
          <w:iCs/>
          <w:color w:val="4472C4"/>
          <w:szCs w:val="26"/>
          <w:lang w:eastAsia="fr-FR"/>
        </w:rPr>
        <w:t xml:space="preserve">dans la figure ci-dessous : </w:t>
      </w:r>
    </w:p>
    <w:p w:rsidR="00CE16D8" w:rsidRDefault="00CE16D8" w:rsidP="00CE16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Calibri"/>
          <w:iCs/>
          <w:color w:val="4472C4"/>
          <w:szCs w:val="26"/>
          <w:lang w:eastAsia="fr-FR"/>
        </w:rPr>
      </w:pPr>
    </w:p>
    <w:p w:rsidR="00CE16D8" w:rsidRDefault="00CE16D8" w:rsidP="00CE16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Calibri"/>
          <w:iCs/>
          <w:color w:val="4472C4"/>
          <w:szCs w:val="26"/>
          <w:lang w:eastAsia="fr-FR"/>
        </w:rPr>
      </w:pPr>
      <w:r>
        <w:rPr>
          <w:noProof/>
        </w:rPr>
        <w:drawing>
          <wp:inline distT="0" distB="0" distL="0" distR="0" wp14:anchorId="60AFEEE8" wp14:editId="586D358A">
            <wp:extent cx="6120130" cy="327914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279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16D8" w:rsidRDefault="00CE16D8" w:rsidP="00CE16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Calibri"/>
          <w:iCs/>
          <w:color w:val="4472C4"/>
          <w:szCs w:val="26"/>
          <w:lang w:eastAsia="fr-FR"/>
        </w:rPr>
      </w:pPr>
    </w:p>
    <w:p w:rsidR="00CE16D8" w:rsidRPr="00095135" w:rsidRDefault="00CE16D8" w:rsidP="00CE16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spacing w:after="0" w:line="240" w:lineRule="auto"/>
        <w:jc w:val="center"/>
        <w:rPr>
          <w:rFonts w:cs="Calibri"/>
          <w:iCs/>
          <w:color w:val="4472C4"/>
          <w:szCs w:val="26"/>
          <w:lang w:eastAsia="fr-FR"/>
        </w:rPr>
      </w:pPr>
      <w:r w:rsidRPr="00095135">
        <w:rPr>
          <w:rFonts w:cs="Calibri"/>
          <w:iCs/>
          <w:color w:val="4472C4"/>
          <w:szCs w:val="26"/>
          <w:lang w:eastAsia="fr-FR"/>
        </w:rPr>
        <w:t>Phase 1 : Instruction du projet de recherche</w:t>
      </w:r>
    </w:p>
    <w:p w:rsidR="00CE16D8" w:rsidRDefault="00CE16D8" w:rsidP="00CE16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Calibri"/>
          <w:i/>
          <w:iCs/>
          <w:color w:val="4472C4"/>
          <w:szCs w:val="26"/>
          <w:lang w:eastAsia="fr-FR"/>
        </w:rPr>
      </w:pPr>
      <w:r w:rsidRPr="00095135">
        <w:rPr>
          <w:rFonts w:cs="Calibri"/>
          <w:iCs/>
          <w:color w:val="4472C4"/>
          <w:szCs w:val="26"/>
          <w:lang w:eastAsia="fr-FR"/>
        </w:rPr>
        <w:t>Délai prévisionnel entre (1) le succès à l’appel à projets et (2) l’obtention des autorisations réglementaires nécessaires au projet et l’inscription sur un registre – en mois</w:t>
      </w:r>
      <w:r>
        <w:rPr>
          <w:rFonts w:cs="Calibri"/>
          <w:iCs/>
          <w:color w:val="4472C4"/>
          <w:szCs w:val="26"/>
          <w:lang w:eastAsia="fr-FR"/>
        </w:rPr>
        <w:t xml:space="preserve"> : </w:t>
      </w:r>
      <w:r w:rsidRPr="00095135">
        <w:rPr>
          <w:rFonts w:cs="Calibri"/>
          <w:i/>
          <w:iCs/>
          <w:color w:val="4472C4"/>
          <w:szCs w:val="26"/>
          <w:lang w:eastAsia="fr-FR"/>
        </w:rPr>
        <w:t>Nombre uniquement</w:t>
      </w:r>
    </w:p>
    <w:p w:rsidR="00B801CA" w:rsidRPr="00095135" w:rsidRDefault="00B801CA" w:rsidP="00CE16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Calibri"/>
          <w:iCs/>
          <w:color w:val="4472C4"/>
          <w:szCs w:val="26"/>
          <w:lang w:eastAsia="fr-FR"/>
        </w:rPr>
      </w:pPr>
    </w:p>
    <w:p w:rsidR="00CE16D8" w:rsidRPr="00095135" w:rsidRDefault="00CE16D8" w:rsidP="00CE16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Calibri"/>
          <w:iCs/>
          <w:color w:val="4472C4"/>
          <w:szCs w:val="26"/>
          <w:lang w:eastAsia="fr-FR"/>
        </w:rPr>
      </w:pPr>
    </w:p>
    <w:p w:rsidR="00CE16D8" w:rsidRPr="00095135" w:rsidRDefault="00CE16D8" w:rsidP="00CE16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spacing w:after="0" w:line="240" w:lineRule="auto"/>
        <w:jc w:val="center"/>
        <w:rPr>
          <w:rFonts w:cs="Calibri"/>
          <w:iCs/>
          <w:color w:val="4472C4"/>
          <w:szCs w:val="26"/>
          <w:lang w:eastAsia="fr-FR"/>
        </w:rPr>
      </w:pPr>
      <w:r w:rsidRPr="00095135">
        <w:rPr>
          <w:rFonts w:cs="Calibri"/>
          <w:iCs/>
          <w:color w:val="4472C4"/>
          <w:szCs w:val="26"/>
          <w:lang w:eastAsia="fr-FR"/>
        </w:rPr>
        <w:t>Phase 2 : Période d’inclusion et/ou de recueil des données jusqu’à 50 %</w:t>
      </w:r>
    </w:p>
    <w:p w:rsidR="00CE16D8" w:rsidRPr="00095135" w:rsidRDefault="00CE16D8" w:rsidP="00CE16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Calibri"/>
          <w:iCs/>
          <w:color w:val="4472C4"/>
          <w:szCs w:val="26"/>
          <w:lang w:eastAsia="fr-FR"/>
        </w:rPr>
      </w:pPr>
      <w:r w:rsidRPr="00095135">
        <w:rPr>
          <w:rFonts w:cs="Calibri"/>
          <w:iCs/>
          <w:color w:val="4472C4"/>
          <w:szCs w:val="26"/>
          <w:lang w:eastAsia="fr-FR"/>
        </w:rPr>
        <w:t>Délai prévisionnel entre (2) l’obtention des autorisations réglementaires nécessaires au projet et l’inscription sur un registre et (3) l’atteinte de 50% des inclusions et/ou de recueil des données (* en l’absence d’inclusion, tâches du projet) – en mois</w:t>
      </w:r>
      <w:r>
        <w:rPr>
          <w:rFonts w:cs="Calibri"/>
          <w:iCs/>
          <w:color w:val="4472C4"/>
          <w:szCs w:val="26"/>
          <w:lang w:eastAsia="fr-FR"/>
        </w:rPr>
        <w:t xml:space="preserve"> : </w:t>
      </w:r>
      <w:r w:rsidRPr="00095135">
        <w:rPr>
          <w:rFonts w:cs="Calibri"/>
          <w:i/>
          <w:iCs/>
          <w:color w:val="4472C4"/>
          <w:szCs w:val="26"/>
          <w:lang w:eastAsia="fr-FR"/>
        </w:rPr>
        <w:t>Nombre uniquement</w:t>
      </w:r>
    </w:p>
    <w:p w:rsidR="00CE16D8" w:rsidRDefault="00CE16D8" w:rsidP="00CE16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Calibri"/>
          <w:iCs/>
          <w:color w:val="4472C4"/>
          <w:szCs w:val="26"/>
          <w:lang w:eastAsia="fr-FR"/>
        </w:rPr>
      </w:pPr>
    </w:p>
    <w:p w:rsidR="00CE16D8" w:rsidRPr="00095135" w:rsidRDefault="00CE16D8" w:rsidP="00CE16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Calibri"/>
          <w:iCs/>
          <w:color w:val="4472C4"/>
          <w:szCs w:val="26"/>
          <w:lang w:eastAsia="fr-FR"/>
        </w:rPr>
      </w:pPr>
    </w:p>
    <w:p w:rsidR="00CE16D8" w:rsidRPr="00095135" w:rsidRDefault="00CE16D8" w:rsidP="00CE16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spacing w:after="0" w:line="240" w:lineRule="auto"/>
        <w:jc w:val="center"/>
        <w:rPr>
          <w:rFonts w:cs="Calibri"/>
          <w:iCs/>
          <w:color w:val="4472C4"/>
          <w:szCs w:val="26"/>
          <w:lang w:eastAsia="fr-FR"/>
        </w:rPr>
      </w:pPr>
      <w:r w:rsidRPr="00095135">
        <w:rPr>
          <w:rFonts w:cs="Calibri"/>
          <w:iCs/>
          <w:color w:val="4472C4"/>
          <w:szCs w:val="26"/>
          <w:lang w:eastAsia="fr-FR"/>
        </w:rPr>
        <w:t>Phase 3 : Période d’inclusion et/ou de recueil des données jusqu’à 100 %</w:t>
      </w:r>
    </w:p>
    <w:p w:rsidR="00CE16D8" w:rsidRDefault="00CE16D8" w:rsidP="00CE16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Calibri"/>
          <w:i/>
          <w:iCs/>
          <w:color w:val="4472C4"/>
          <w:szCs w:val="26"/>
          <w:lang w:eastAsia="fr-FR"/>
        </w:rPr>
      </w:pPr>
      <w:r w:rsidRPr="00095135">
        <w:rPr>
          <w:rFonts w:cs="Calibri"/>
          <w:iCs/>
          <w:color w:val="4472C4"/>
          <w:szCs w:val="26"/>
          <w:lang w:eastAsia="fr-FR"/>
        </w:rPr>
        <w:t>Délai prévisionnel entre (3) l’atteinte de 50 % des inclusions et/ou de recueil des données et (4) la fin des inclusions et/ou de recueil des données et le gel de la base (* en l’absence d’inclusion, tâches du projet) – en mois</w:t>
      </w:r>
      <w:r>
        <w:rPr>
          <w:rFonts w:cs="Calibri"/>
          <w:iCs/>
          <w:color w:val="4472C4"/>
          <w:szCs w:val="26"/>
          <w:lang w:eastAsia="fr-FR"/>
        </w:rPr>
        <w:t xml:space="preserve"> : </w:t>
      </w:r>
      <w:r w:rsidRPr="00095135">
        <w:rPr>
          <w:rFonts w:cs="Calibri"/>
          <w:i/>
          <w:iCs/>
          <w:color w:val="4472C4"/>
          <w:szCs w:val="26"/>
          <w:lang w:eastAsia="fr-FR"/>
        </w:rPr>
        <w:t>Nombre uniquement</w:t>
      </w:r>
    </w:p>
    <w:p w:rsidR="00B801CA" w:rsidRPr="00095135" w:rsidRDefault="00B801CA" w:rsidP="00CE16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Calibri"/>
          <w:iCs/>
          <w:color w:val="4472C4"/>
          <w:szCs w:val="26"/>
          <w:lang w:eastAsia="fr-FR"/>
        </w:rPr>
      </w:pPr>
    </w:p>
    <w:p w:rsidR="00CE16D8" w:rsidRPr="00095135" w:rsidRDefault="00CE16D8" w:rsidP="00CE16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Calibri"/>
          <w:iCs/>
          <w:color w:val="4472C4"/>
          <w:szCs w:val="26"/>
          <w:lang w:eastAsia="fr-FR"/>
        </w:rPr>
      </w:pPr>
    </w:p>
    <w:p w:rsidR="00CE16D8" w:rsidRPr="00095135" w:rsidRDefault="00CE16D8" w:rsidP="00CE16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spacing w:after="0" w:line="240" w:lineRule="auto"/>
        <w:jc w:val="center"/>
        <w:rPr>
          <w:rFonts w:cs="Calibri"/>
          <w:iCs/>
          <w:color w:val="4472C4"/>
          <w:szCs w:val="26"/>
          <w:lang w:eastAsia="fr-FR"/>
        </w:rPr>
      </w:pPr>
      <w:r w:rsidRPr="00095135">
        <w:rPr>
          <w:rFonts w:cs="Calibri"/>
          <w:iCs/>
          <w:color w:val="4472C4"/>
          <w:szCs w:val="26"/>
          <w:lang w:eastAsia="fr-FR"/>
        </w:rPr>
        <w:t>Phase 4 : Analyse des données</w:t>
      </w:r>
    </w:p>
    <w:p w:rsidR="00CE16D8" w:rsidRPr="00095135" w:rsidRDefault="00CE16D8" w:rsidP="00CE16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Calibri"/>
          <w:iCs/>
          <w:color w:val="4472C4"/>
          <w:szCs w:val="26"/>
          <w:lang w:eastAsia="fr-FR"/>
        </w:rPr>
      </w:pPr>
      <w:r w:rsidRPr="00095135">
        <w:rPr>
          <w:rFonts w:cs="Calibri"/>
          <w:iCs/>
          <w:color w:val="4472C4"/>
          <w:szCs w:val="26"/>
          <w:lang w:eastAsia="fr-FR"/>
        </w:rPr>
        <w:t xml:space="preserve">Délai prévisionnel entre (4) la fin des inclusions et/ou de recueil des données et le gel de la base (* en l’absence d’inclusion, tâches du projet) et (5) la finalisation des rapports scientifiques, techniques et </w:t>
      </w:r>
      <w:r w:rsidRPr="00095135">
        <w:rPr>
          <w:rFonts w:cs="Calibri"/>
          <w:iCs/>
          <w:color w:val="4472C4"/>
          <w:szCs w:val="26"/>
          <w:lang w:eastAsia="fr-FR"/>
        </w:rPr>
        <w:lastRenderedPageBreak/>
        <w:t>réglementaires, la soumission d’un manuscrit à un comité de lecture et le postage des résultats sur le registre choisi – en mois</w:t>
      </w:r>
      <w:r>
        <w:rPr>
          <w:rFonts w:cs="Calibri"/>
          <w:iCs/>
          <w:color w:val="4472C4"/>
          <w:szCs w:val="26"/>
          <w:lang w:eastAsia="fr-FR"/>
        </w:rPr>
        <w:t xml:space="preserve"> : </w:t>
      </w:r>
      <w:r w:rsidRPr="00095135">
        <w:rPr>
          <w:rFonts w:cs="Calibri"/>
          <w:i/>
          <w:iCs/>
          <w:color w:val="4472C4"/>
          <w:szCs w:val="26"/>
          <w:lang w:eastAsia="fr-FR"/>
        </w:rPr>
        <w:t>Nombre uniquement</w:t>
      </w:r>
    </w:p>
    <w:p w:rsidR="00CE16D8" w:rsidRPr="00095135" w:rsidRDefault="00CE16D8" w:rsidP="00CE16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Calibri"/>
          <w:iCs/>
          <w:color w:val="4472C4"/>
          <w:szCs w:val="26"/>
          <w:lang w:eastAsia="fr-FR"/>
        </w:rPr>
      </w:pPr>
    </w:p>
    <w:p w:rsidR="00CE16D8" w:rsidRPr="00095135" w:rsidRDefault="00CE16D8" w:rsidP="00CE16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Calibri"/>
          <w:iCs/>
          <w:color w:val="4472C4"/>
          <w:szCs w:val="26"/>
          <w:lang w:eastAsia="fr-FR"/>
        </w:rPr>
      </w:pPr>
    </w:p>
    <w:p w:rsidR="00CE16D8" w:rsidRPr="00095135" w:rsidRDefault="00CE16D8" w:rsidP="00CE16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spacing w:after="0" w:line="240" w:lineRule="auto"/>
        <w:jc w:val="center"/>
        <w:rPr>
          <w:rFonts w:cs="Calibri"/>
          <w:iCs/>
          <w:color w:val="4472C4"/>
          <w:szCs w:val="26"/>
          <w:lang w:eastAsia="fr-FR"/>
        </w:rPr>
      </w:pPr>
      <w:r w:rsidRPr="00095135">
        <w:rPr>
          <w:rFonts w:cs="Calibri"/>
          <w:iCs/>
          <w:color w:val="4472C4"/>
          <w:szCs w:val="26"/>
          <w:lang w:eastAsia="fr-FR"/>
        </w:rPr>
        <w:t>Phase 5 : Valorisation</w:t>
      </w:r>
    </w:p>
    <w:p w:rsidR="00CE16D8" w:rsidRPr="00095135" w:rsidRDefault="00CE16D8" w:rsidP="00CE16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Calibri"/>
          <w:iCs/>
          <w:color w:val="4472C4"/>
          <w:szCs w:val="26"/>
          <w:lang w:eastAsia="fr-FR"/>
        </w:rPr>
      </w:pPr>
      <w:r w:rsidRPr="00095135">
        <w:rPr>
          <w:rFonts w:cs="Calibri"/>
          <w:iCs/>
          <w:color w:val="4472C4"/>
          <w:szCs w:val="26"/>
          <w:lang w:eastAsia="fr-FR"/>
        </w:rPr>
        <w:t>Délai prévisionnel entre (5) la finalisation des rapports scientifiques, techniques et réglementaires, la soumission d’un manuscrit à un comité de lecture et le postage des résultats sur le registre choisi et (6) la publication princeps – en mois</w:t>
      </w:r>
      <w:r>
        <w:rPr>
          <w:rFonts w:cs="Calibri"/>
          <w:iCs/>
          <w:color w:val="4472C4"/>
          <w:szCs w:val="26"/>
          <w:lang w:eastAsia="fr-FR"/>
        </w:rPr>
        <w:t xml:space="preserve"> : </w:t>
      </w:r>
      <w:r w:rsidRPr="00095135">
        <w:rPr>
          <w:rFonts w:cs="Calibri"/>
          <w:i/>
          <w:iCs/>
          <w:color w:val="4472C4"/>
          <w:szCs w:val="26"/>
          <w:lang w:eastAsia="fr-FR"/>
        </w:rPr>
        <w:t>Nombre uniquement</w:t>
      </w:r>
    </w:p>
    <w:p w:rsidR="00CE16D8" w:rsidRDefault="00CE16D8" w:rsidP="00CE16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Calibri"/>
          <w:iCs/>
          <w:color w:val="4472C4"/>
          <w:szCs w:val="26"/>
          <w:lang w:eastAsia="fr-FR"/>
        </w:rPr>
      </w:pPr>
    </w:p>
    <w:p w:rsidR="00B801CA" w:rsidRPr="00095135" w:rsidRDefault="00B801CA" w:rsidP="00CE16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Calibri"/>
          <w:iCs/>
          <w:color w:val="4472C4"/>
          <w:szCs w:val="26"/>
          <w:lang w:eastAsia="fr-FR"/>
        </w:rPr>
      </w:pPr>
    </w:p>
    <w:p w:rsidR="00CE16D8" w:rsidRDefault="00CE16D8" w:rsidP="00CE16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spacing w:after="0" w:line="240" w:lineRule="auto"/>
        <w:jc w:val="center"/>
        <w:rPr>
          <w:rFonts w:cs="Calibri"/>
          <w:iCs/>
          <w:color w:val="4472C4"/>
          <w:szCs w:val="26"/>
          <w:lang w:eastAsia="fr-FR"/>
        </w:rPr>
      </w:pPr>
      <w:r>
        <w:rPr>
          <w:rFonts w:cs="Calibri"/>
          <w:iCs/>
          <w:color w:val="4472C4"/>
          <w:szCs w:val="26"/>
          <w:lang w:eastAsia="fr-FR"/>
        </w:rPr>
        <w:t>Justification si délai de 84 mois dépassé – si applicable</w:t>
      </w:r>
    </w:p>
    <w:p w:rsidR="00CE16D8" w:rsidRDefault="00CE16D8" w:rsidP="00CE16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Calibri"/>
          <w:iCs/>
          <w:color w:val="4472C4"/>
          <w:szCs w:val="26"/>
          <w:lang w:eastAsia="fr-FR"/>
        </w:rPr>
      </w:pPr>
      <w:r w:rsidRPr="00095135">
        <w:rPr>
          <w:rFonts w:cs="Calibri"/>
          <w:iCs/>
          <w:color w:val="4472C4"/>
          <w:szCs w:val="26"/>
          <w:lang w:eastAsia="fr-FR"/>
        </w:rPr>
        <w:t>Justification obligatoire si le délai entre (1) le succès à l’appel à projet et (4) la fin des inclusions et/ou de recueil des données et le gel de la base (*en l’absence d’inclusion, tâches du projet) est supérieur à 84 mois (6 ans)</w:t>
      </w:r>
      <w:r>
        <w:rPr>
          <w:rFonts w:cs="Calibri"/>
          <w:iCs/>
          <w:color w:val="4472C4"/>
          <w:szCs w:val="26"/>
          <w:lang w:eastAsia="fr-FR"/>
        </w:rPr>
        <w:t xml:space="preserve"> : </w:t>
      </w:r>
      <w:r w:rsidRPr="00095135">
        <w:rPr>
          <w:rFonts w:cs="Calibri"/>
          <w:iCs/>
          <w:color w:val="4472C4"/>
          <w:szCs w:val="26"/>
          <w:lang w:eastAsia="fr-FR"/>
        </w:rPr>
        <w:t>Texte libre (max 2000 caractères).</w:t>
      </w:r>
    </w:p>
    <w:p w:rsidR="00CE16D8" w:rsidRDefault="00CE16D8" w:rsidP="00CE16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Calibri"/>
          <w:iCs/>
          <w:color w:val="4472C4"/>
          <w:szCs w:val="26"/>
          <w:lang w:eastAsia="fr-FR"/>
        </w:rPr>
      </w:pPr>
    </w:p>
    <w:p w:rsidR="00CE16D8" w:rsidRPr="00095135" w:rsidRDefault="00CE16D8" w:rsidP="00CE16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Calibri"/>
          <w:iCs/>
          <w:color w:val="4472C4"/>
          <w:szCs w:val="26"/>
          <w:lang w:eastAsia="fr-FR"/>
        </w:rPr>
      </w:pPr>
    </w:p>
    <w:p w:rsidR="00CE16D8" w:rsidRDefault="00CE16D8" w:rsidP="00CE16D8">
      <w:pPr>
        <w:pStyle w:val="Default"/>
        <w:rPr>
          <w:rFonts w:ascii="Calibri" w:hAnsi="Calibri" w:cs="Calibri"/>
          <w:b/>
          <w:bCs/>
          <w:sz w:val="22"/>
          <w:szCs w:val="22"/>
        </w:rPr>
      </w:pPr>
    </w:p>
    <w:p w:rsidR="000C5DC0" w:rsidRDefault="000C5DC0">
      <w:bookmarkStart w:id="0" w:name="_GoBack"/>
      <w:bookmarkEnd w:id="0"/>
    </w:p>
    <w:sectPr w:rsidR="000C5DC0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7E5D" w:rsidRDefault="003A7E5D" w:rsidP="003A7E5D">
      <w:pPr>
        <w:spacing w:after="0" w:line="240" w:lineRule="auto"/>
      </w:pPr>
      <w:r>
        <w:separator/>
      </w:r>
    </w:p>
  </w:endnote>
  <w:endnote w:type="continuationSeparator" w:id="0">
    <w:p w:rsidR="003A7E5D" w:rsidRDefault="003A7E5D" w:rsidP="003A7E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8312890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3A7E5D" w:rsidRDefault="003A7E5D">
            <w:pPr>
              <w:pStyle w:val="Pieddepage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sur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A7E5D" w:rsidRDefault="003A7E5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7E5D" w:rsidRDefault="003A7E5D" w:rsidP="003A7E5D">
      <w:pPr>
        <w:spacing w:after="0" w:line="240" w:lineRule="auto"/>
      </w:pPr>
      <w:r>
        <w:separator/>
      </w:r>
    </w:p>
  </w:footnote>
  <w:footnote w:type="continuationSeparator" w:id="0">
    <w:p w:rsidR="003A7E5D" w:rsidRDefault="003A7E5D" w:rsidP="003A7E5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6D8"/>
    <w:rsid w:val="000C5DC0"/>
    <w:rsid w:val="0013719E"/>
    <w:rsid w:val="003A7E5D"/>
    <w:rsid w:val="007446AE"/>
    <w:rsid w:val="00B801CA"/>
    <w:rsid w:val="00CE1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04D4C"/>
  <w15:chartTrackingRefBased/>
  <w15:docId w15:val="{EBE03A91-EDB0-4B1D-8014-520740368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E16D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CE16D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3A7E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A7E5D"/>
  </w:style>
  <w:style w:type="paragraph" w:styleId="Pieddepage">
    <w:name w:val="footer"/>
    <w:basedOn w:val="Normal"/>
    <w:link w:val="PieddepageCar"/>
    <w:uiPriority w:val="99"/>
    <w:unhideWhenUsed/>
    <w:rsid w:val="003A7E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A7E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342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 de Nice</Company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MARCHAL SOPHIE</dc:creator>
  <cp:keywords/>
  <dc:description/>
  <cp:lastModifiedBy>MARCHAL SOPHIE</cp:lastModifiedBy>
  <cp:revision>3</cp:revision>
  <dcterms:created xsi:type="dcterms:W3CDTF">2026-10-13T07:10:00Z</dcterms:created>
  <dcterms:modified xsi:type="dcterms:W3CDTF">2026-10-13T08:21:00Z</dcterms:modified>
</cp:coreProperties>
</file>